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797695-О/2024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пунктом 5 части первой статьи 23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 оспаривает конституционность пункта 5 части первой статьи 23 «Гражданские дела, подсудные мировому судье» ГПК Российской Федерации. Как следует из представленных материалов, определением городского суда, оставленным без изменения судами вышестоящих инстанций, В.В.Технюку возвращено исковое заявление о защите прав потребителя в связи с его неподсудностью данному суду. При этом суд исходил из того, что данное исковое заявление подлежит рассмотрению мировым судьей, поскольку заявленное истцом требование о компенсации морального вреда 2 производно от имущественного требования, размер которого не превышает ста тысяч рублей.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В.В.Технюка, оспариваемое законоположение не соответствует статьям 46 и 47 Конституции Российской Федерации, поскольку препятствует рассмотрению районным (городским) судом искового заявления о компенсации морального вреда, причиненного нарушением прав потребителя и не связанного с требованием имущественного характера. Кроме того, заявитель просит дать разъяснения по вопросу о подсудности конкретного дела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5 части первой статьи 23 ГПК Российской Федерации мировой судья рассматривает в качестве суда первой инстанции дела по имущественным спорам, возникающим в сфере защиты прав потребителей, при цене иска, не превышающей ста тысяч рублей. Данное законоположение, рассматриваемое с учетом разъяснения Пленума Верховного Суда Российской Федерации – о том, что дела по требованиям о компенсации морального вреда, заявленным самостоятельно, подсудны районным судам; в случае же если одновременно с требованием имущественного характера, подсудным мировому судье, заявлено производное от него требование о компенсации морального вреда (например, по делам о защите прав потребителей), то такие требования подсудны мировому судье, независимо от заявленной истцом суммы компенсации морального вреда (пункт 57 постановления от 15 ноября 2022 года № 33 «О практике применения судами норм о компенсации морального вреда»), – конкретизирует статью 47 (часть 3 1) Конституции Российской Федерации и не может рассматриваться как нарушающее конституционные права заявителя, перечисленные в жалобе. Определение же подсудности конкретного дела с участием В.В.Технюка, а также предоставление разъяснений по этому вопросу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