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789395-О/2024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Рамского Евгения Викторовича на нарушение его конституционных прав положениями статей 148 и 196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Е.В.Рамского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Е.В.Рамский оспаривает конституционность абзаца третьего (в жалобе ошибочно названного абзацем вторым) статьи 148 «Задачи подготовки дела к судебному разбирательству» и части первой статьи 196 «Вопросы, разрешаемые при принятии решения суда»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 и кассационным судом общей юрисдикции, Е.В.Рамскому отказано в удовлетворении исковых требований к гражданке П. о взыскании 2 задолженности по договору подряда, встречные исковые требования П. о взыскании среди прочего убытков и неустойки по указанному договору удовлетворены частично.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В связи с этим Е.В.Рамский полагает, что применением оспариваемых законоположений было нарушено его право, гарантированное статьей 46 (часть 1) Конституции Российской Федерации: в результате предоставленной суду свободы усмотрения в выборе норм материального права закон, подлежащий, по мнению заявителя, применению при разрешении дела с его участием, не был применен.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третий статьи 148 ГПК Российской Федерации, относящий к задачам подготовки дела к судебному разбирательству определение закона, которым следует руководствоваться при разрешении дела, и установление правоотношений сторон, а также часть первая статьи 196 того же Кодекса, возлагающая на суд обязанность при принятии решения оценить доказательства, определить, какие обстоятельства, имеющие значение для рассмотрения дела, установлены и какие обстоятельства не установлены, каковы правоотношения сторон, какой закон должен быть применен по данному делу и подлежит ли иск удовлетворению, не предполагают их произвольного применения, призваны обеспечить полное и всестороннее изучение обстоятельств конкретного дела и вынесение законного и обоснованного судебного постановления, а потому не могут расцениваться в качестве нарушающих конституционные права заявителя, в том числе право на судебную защиту. 3 Кроме того, выбор норм права, подлежащих применению при разрешении конкретного дела, осуществляется судом исходя из его фактических обстоятельств и содержания спорных правоотношений. Оценка же правильности такого выбора, на чем в действительности настаивает Е.В.Рамский, требует установления указанных обстоятельств, что не входит в компетенцию Конституционного Суда Российской Федерации, закрепленную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Рамского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