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796912-О/2024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Станковской Аллы Ивановны на нарушение ее конституционных прав частью третьей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А.И.Станковской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отказано в удовлетворении заявления гражданки А.И.Станковской к Российской Федерации в лице Минфина России о присуждении компенсации за нарушение права на судопроизводство в разумный срок. При этом суд, исходя из содержания данного заявления, расценил его в качестве искового заявления о взыскании материального ущерба и компенсации морального вреда, причиненных бездействием судов, по основаниям, предусмотренным положениями статей 151, 1069 и 1070 ГК Российской Федерации. 2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связи с этим заявительница оспаривает конституционность части третьей статьи 61 «Разумный срок судопроизводства и разумный срок исполнения судебного постановления» ГПК Российской Федерации. По мнению А.И.Станковской, данная норма противоречит статье 46 (части 1 и 2) Конституции Российской Федерации в той мере, в какой она в системе действующего правового регулирования по смыслу, придаваемому ей правоприменительной практикой, лишает гражданина возможности требовать в порядке гражданского судопроизводства на основании пункта 2 статьи 1070 ГК Российской Федерации возмещения вреда, причиненного виновным бездействием суда, если такое бездействие допущено после объявления резолютивной части судебного постановления, разрешающего дело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содержащимся в жалобе утверждениям, положения части третьей статьи 61 ГПК Российской Федерации – устанавливающей критерии определения разумного срока судебного разбирательства, которые обеспечивают надлежащую реализацию конституционного права каждого на судебную защиту, – сами по себе не препятствуют подаче в суд заявления о возмещении вреда, причиненного решениями, действиями (бездействием) государственных органов и должностных лиц. Как усматривается из материалов обращения, поданное заявительницей в суд заявление было рассмотрено по существу и признано необоснованным, с чем она, по сути, выражает несогласие. Между тем разрешение вопроса о правомерности выводов судов, положенных в основу принятых ими постановлений, предполагает установление фактических обстоятельств конкретного дела и к 3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Станковской Аллы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