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736784-О/2024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«Реализация Инвестиционных Проектов», общества с ограниченной ответственностью «СК Строй- Град» и других на нарушение их конституционных прав рядом норм Арбитражного процессуального кодекса Российской Федерации и пунктом 1 статьи 186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«Реализация Инвестиционных Проектов», общества с ограниченной ответственностью «СК Строй-Град»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«Реализация Инвестиционных Проектов» (далее также – ООО «РИП»), общество с ограниченной ответственностью «СК Строй-Град» (далее также – ООО «СК Строй-Град»), общество с ограниченной ответственностью «Рус-Строй» (далее также – ООО «Рус-Строй») и общество с ограниченной ответственностью «Строй-Конструкция» (далее также – ООО «Строй- Конструкция») оспаривают конституционность частей 2 и 3 статьи 8 2 «Равноправие сторон», статьи 71 «Оценка доказательств», частей 1, 4, 8 и 9 статьи 75 «Письменные доказательства», части 3 статьи 86 «Заключение эксперта», статьи 161 «Заявление о фальсификации доказательства», части 1 статьи 162 «Исследование доказательств», части 4 статьи 170 «Содержание решения» АПК Российской Федерации и пункта 1 статьи 186 «Срок доверенности» ГК Российской Федерации. Как следует из представленных материалов, решением арбитражного суда, оставленным без изменения арбитражными судами вышестоящих инстанций, ООО «РИП», ООО «СК Строй-Град», ООО «Рус-Строй» и ООО «Строй-Конструкция» отказано в удовлетворении исковых требований к юридическому лицу о взыскании неосновательного обогащения. Определением судьи Верховного Суда Российской Федерации заявителям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ООО «РИП», ООО «СК Строй-Град», ООО «Рус-Строй» и ООО «Строй-Конструкция»,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15 (часть 2), 19 (часть 1), 46 (часть 1), 120 (часть 1) и 123 (часть 3) Конституции Российской Федерации, поскольку исключают для них возможность судебной защиты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заявителями в обоснование своей позиции, свидетельствуют о том, что нарушение конституционных прав они связывают не с содержанием оспариваемых законоположений, а с ненадлежащей, как они полагают, оценкой арбитражными судами доказательств и неправильным применением ими норм права. Разрешение же данного вопроса, связанного с установлением и исследованием фактических 3 обстоятельств конкретного дела,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«Реализация Инвестиционных Проектов», общества с ограниченной ответственностью «СК Строй-Град» и др.,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