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3239-О/2024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Шамсутдинова Рамиля Рафиковича на нарушение его конституционных прав Уголовным кодексом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Р.Р.Шамсутдинова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Р.Р.Шамсутдинов, в отношении которого вынесен обвинительный приговор, утверждает, что применение Уголовного кодекса Российской Федерации в его деле повлекло нарушение прав, гарантированных статьями 17 (часть 1), 19 (части 1 и 2), 21–24, 33, 45 (часть 1), 46 (часть 1), 47 (часть 1), 49, 50 (часть 2), 52, 54 (часть 2), 55 (часть 3) и 56 (часть 3) Конституции Российской Федерации. При этом заявитель просит объединить его обращение с жалобой, поданной в</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пункту 6 части второй статьи 37 Федерального конституционного закона «О Конституционном Суде Российской Федерации» Р.Р.Шамсутдинов не указывает конкретных норм оспариваемого нормативного акта, которые, по его мнению, нарушают его конституционные права. Между тем,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Шамсутдинова Рамиля Рафиковича,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