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1752-П/2023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февраля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Пака Вячеслава Владимировича на нарушение его конституционных прав частью 1 статьи 111 Кодекса административного судопроизводства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В.В.Пака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В.В.Пак оспаривает конституционность части 1 статьи 111 «Распределение судебных расходов между сторонами» КАС Российской Федерации. Как следует из представленных материалов, в судебном порядке по заявлению В.В.Пака кадастровая стоимость принадлежащего ему жилого дома определена в размере, равном рыночной стоимости. При этом заявителю было отказано во взыскании судебных расходов по делу, поскольку, как указал суд, допущенное при установлении кадастровой 2 стоимости здания расхождение с рыночной стоимостью укладывается в приемлемый диапазон отклонений. По мнению заявителя, оспариваемое законоположение допускает произвольное применение в правоприменительной практике различных значений приемлемого диапазона отклонения кадастровой стоимости от рыночной при решении вопроса о распределении судебных расходов по делам об установлении кадастровой стоимости объекта недвижимости в размере его рыночной стоимости, а потому не соответствует статьям 17 (часть 1), 18, 19 (части 1 и 2), 35 (части 1–3), 45 (часть 1), 46 (части 1 и 2), 53, 55 (часть 3) и 57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Определением от 21 июля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Пака Вячеслава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