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736751-О/2024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Цивилева Андрея Станиславовича на нарушение его конституционных прав частью первой статьи 151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А.С.Цивилева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А.С.Цивилев оспаривает конституционность части первой статьи 151 «Компенсация морального вреда» ГК Российской Федерации. Как следует из представленных материалов, решением суда общей юрисдикции от 12 августа 2021 года заявителю отказано в удовлетворении требований о взыскании с государственного казенного учреждения компенсации морального вреда. В этой части с указанным решением согласился суд апелляционной инстанции, определение которого оставлено без изменения судом кассационной инстанции. Определением судьи Верховного Суда Российской Федерации от 8 декабря 2022 года отказано в передаче кассационной жалобы государственного казенного учреждения для 2 рассмотрения в судебном заседании Судебной коллегии по гражданским делам Верховного Суда Российской Федерации. По мнению заявителя, оспариваемая норма не соответствует статьям 21 (часть 1), 45 (часть 1), 46 (часть 1) и 56 (часть 3) Конституции Российской Федерации. Также А.С.Цивилев ходатайствует о восстановлении пропущенного годичного срока на подачу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гражданина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Цивилева Андрея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