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подпунктом «в» пункта 2 части первой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проверить соответствие подпункта «в» пункта 2 части первой статьи 35 «Изменение территориальной подсудности уголовного дела» УПК Российской Федерации статьям 21 (часть 1), 22, 46 (части 1 и 2), 47 (часть 1), 49 (часть 1), 50 (часть 3), 71 (пункты «в» и «о») и 128 (часть 3) Конституции Российской Федерации. По мнению заявителя, оспариваемая норма, допуская изменение территориальной подсудности уголовного дела до начала судебного разбирательства этого дела в суде апелляционной инстанции, исключает выполнение государством своей обязанности по охране достоинства лиц, 2 содержащихся под стражей, которые осуждены и которыми обжалованы приговоры, так как право на их пересмотр вышестоящим судом не обеспечено судебной защитой и порядком, установленным Уголовно- процессуальным кодексом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