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районного суда от 22 января 2021 года, оставленным без изменения постановлением суда апелляционной инстанции, гражданину Э.А.Гусейнову продлен срок содержания под стражей. Постановлением судьи Восьмого кассационного суда общей юрисдикции от 6 апреля 2021 года отказано в передаче кассационной жалобы подсудимого на указанные судебные решения для рассмотрения в судебном заседании суда кассационной инстанции. Э.А.Гусейнов утверждает, что применением статьи 255 «Решение вопроса о мере пресечения» УПК Российской Федерации нарушены его 2 права, гарантированные статьями 17, 18, 22, 46 (части 1 и 2), 47 (часть 1), 49 (часть 1) и 52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255 УПК Российской Федерации, устанавливая правомочия суда при решении вопроса о мере пресечения в отношении подсудимого и последствия продления ему срока содержания под стражей, подлежит применению в системе с другими нормами этого Кодекса, направлена на принятие судом законных и обоснованных решений, неопределенности не содержит и прав заявителя не нарушает (Определение Конституционного Суда Российской Федерации от 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