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валевой Екатерины Андреевны на нарушение ее конституционных прав статьями 222, 22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Е.А.Ковал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Ковалева оспаривает конституционность статей 222 «Основания для оставления заявления без рассмотрения» и 223 «Порядок и последствия оставления заявления без рассмотрения» ГПК Российской Федерации. Как следует из представленных материалов, определением суда общей юрисдикции исковое заявление Е.А.Ковалевой к сельскохозяйственному производственному кооперативу (колхозу) о признании договора трудовым и взыскании задолженности оставлено без рассмотрения в связи с неявкой сторон в суд по вторичному вызову. Определением судьи того же суда 2 заявительнице возвращена частная жалоба на определение об оставлении заявления без рассмотрения в связи с тем, что обжалование такого рода определений не предусмотрено действующим законодательством. При этом Е.А.Ковалевой было разъяснено ее право на обращение в суд в порядке части третьей статьи 223 ГПК Российской Федерации с ходатайством об отмене данного определения. Определением судьи кассационного суда общей юрисдикции кассационная жалоба заявительницы на определение об оставлении искового заявления без рассмотрения возвращена без рассмотрения по существу в связи с тем, что оно не было обжаловано в соответствии с правилами подсудности в суде апелляционной инстанции. В этой связи Е.А.Ковалева просит признать оспариваемые законоположения противоречащими Конституции Российской Федерации, ее статьям 18, 37 и 46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3 Между тем представленные судебные постановления не подтверждают исчерпания заявительницей внутригосударственных средств судебной защиты ее прав при разрешении дела с ее участием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валевой Екатери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