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1 статьи 4.5, статьей 5.59, пунктом 6 части 1 статьи 24.5, а также пунктами 2–4 части 2 статьи 30.17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части 1 статьи 4.5 «Давность привлечения к административной ответственности», статьи 5.59 «Нарушение порядка рассмотрения обращений граждан», пункта 6 части 1 статьи 24.5 «Обстоятельства, исключающие производство по делу об административном правонарушении», а также пунктов 2–4 части 2 статьи 30.17 «Виды постановлений, принимаемых по результатам рассмотрения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протестов» КоАП Российской Федерации. 2 По мнению Э.А.Гусейнова, оспариваемые законоположения позволили судье Верховного Суда Российской Федерации необоснованно, без учета Определения Конституционного Суда Российской Федерации от 23 июля 2020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