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3473-П/2023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Фахретдинова Рустема Рифовича на нарушение его конституционных прав пунктом 4 части первой статьи 27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Р.Р.Фахретдинова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12 мая 2022 года (с которым согласился заместитель Председателя этого суда – письмо от 28 июня 2022 года) ввиду отсутствия существенных нарушений закона, повлиявших на исход дела, гражданину Р.Р.Фахретдинову отказано в передаче для рассмотрения в судебном заседании суда кассационной инстанции жалобы на вынесенные в его отношении приговор и последующие судебные решения. При этом отмечено, что довод осужденного о том, что он дважды привлечен к ответственности за одно и то же событие, проверялся судом первой инстанции и был признан несостоятельным. 2 Заявитель просит признать не соответствующим Конституции Российской Федерации пункт 4 части первой статьи 27 «Основания прекращения уголовного преследования» УПК Российской Федерации в той мере, в какой данная норма, по его утверждению, допускает повторное привлечение к уголовной ответственности за одно и то же деяние.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Р.Р.Фахретдинов уже оспаривал конституционность пункта 4 части первой статьи 27 УПК Российской Федерации в аналогичном аспекте. Определением от 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Фахретдинова Рустема Рифовича,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