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658792-П/2022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Фахретдинова Рустема Рифовича на нарушение его конституционных прав пунктом 4 части первой статьи 27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Р.Р.Фахретдинова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12 мая 2022 года (с которым согласился заместитель Председателя этого суда – письмо от 28 июня 2022 года) ввиду отсутствия существенных нарушений закона, повлиявших на исход дела, гражданину Р.Р.Фахретдинову отказано в передаче для рассмотрения в судебном заседании суда кассационной инстанции жалобы на вынесенные в его отношении приговор и последующие судебные решения. При этом отмечено, что довод осужденного о том, что он дважды привлечен к ответственности за одно и то же событие, проверялся судом первой инстанции и был признан несостоятельным. Заявитель просит признать не соответствующей Конституции Российской Федерации пункт 4 части первой статьи 27 «Основания прекращения 2 уголовного преследования» УПК Российской Федерации в той мере, в какой данная норма, по его утверждению, не обеспечивает признание незаконным обвинительного приговора, которым лицо повторно привлечено к ответственности за одно и то же деяние, и препятствует тем самым прямому действию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Фахретдинова Рустема Рифовича,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