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554412-П/2021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третьей статьи 255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июля 2020 года гражданину Э.А.Гусейнову отказано в передаче для рассмотрения в судебном заседании суда кассационной инстанции жалобы на решения судов первой и апелляционной инстанций о продлении срока содержания под стражей. В этой связи заявитель просит признать не соответствующей Конституции Российской Федерации, ее статьям 21, 22, 46 (части 1 и 2), 52, 55, 56, 64, 71, 125, 126 и 128 (часть 3), часть третью статьи 255 «Решение вопроса о мере пресечения» УПК Российской Федерации, поскольку она, по 2 его мнению, не исключает применения установленных ею правил к подсудимому по уголовному делу, признанному по этому же делу потерпевшим, исключая тем самым охрану прав потерпевших от преступлений.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255 УПК Российской Федерации предусматривает, что суд, в производстве которого находится уголовное дело, по истечении 6 месяцев со дня поступления уголовного дела вправе продлить срок содержания подсудимого под стражей. Учитывая, что мера пресечения избирается только по отношению к подозреваемому, обвиняемому по уголовному делу, данная норма не предполагает разрешения вопроса о продлении срока содержания под стражей обвиняемого, который при этом является потерпевшим по другому уголовному делу, неопределенности не содержит и не может расцениваться в качестве нарушающей конституционные права заявителя в указанном им аспекте.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