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638042-П/2022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«АВЕЛ» на нарушение его конституционных прав абзацем вторым части первой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«АВЕЛ»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«АВЕЛ» (далее также – общество) оспаривает конституционность абзаца второго части первой статьи 376 «Право на обращение в кассационный суд общей юрисдикции»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того же суда, кассационная жалоба общества на апелляционное определение, принятое по делу с его участием, была возвращена без рассмотрения по существу, поскольку 2 заявителем не были исчерпаны установленные Гражданским процессуальным кодексом Российской Федерации способы обжалования судебного постановления до дня вступления его в законную силу.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оспариваемое законоположение противоречит Конституции Российской Федерации, ее статьям 46 и 47, поскольку лишает его права на обращение с кассационной жалобой и на выбор судебного постановления, подлежащего кассационному обжалованию.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«АВЕЛ»,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