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сентября 2021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 продлении ему срока содержания под стражей. В этой связи заявитель оспаривает соответствие статьи 255 «Решение вопроса о мере пресечения» УПК Российской Федерации статьям 22, 46 (части 1 и 2), 47 (часть 1), 49, 52 и 125 (части 1 и 6) Конституции Российской Федерации, поскольку она, по его мнению, позволяет подвергать граждан 2 незаконному содержанию под стражей и исключает защиту основных прав и свобод человека и гражданина в уголовном судопроизводстве.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Определением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