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648282-П/2022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Ломова Владимира Николаевича на нарушение его конституционных прав пунктом 1 статьи 7 Федерального закона «Об адвокатской деятельности и адвокатуре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В.Н.Ломова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22 ноября 2021 года и письмом заместителя Председателя Верховного Суда Российской Федерации от 16 июня 2022 года отказано в передаче для рассмотрения в судебном заседании суда кассационной инстанции жалоб гражданина В.Н.Ломова, осужденного по вступившему в законную силу приговору суда, на вынесенные в его отношении решения судов первой и второй инстанций по вопросу об избрании меры пресечения в виде заключения под стражу. 2 Перечисляя допущенные, по его утверждению, нарушения его права на защиту, заявитель просит признать не соответствующим статье 48 (часть 1) Конституции Российской Федерации пункт 1 (именуемый в жалобе частью 1) статьи 7 «Обязанности адвоката» Федерального закона от 31 мая 2002 года № 63-ФЗ «Об адвокатской деятельности и адвокатуре в Российской Федерации», как не гарантирующий оказание именно квалифицированной юридической помощи лицу, привлекаемому к уголовной ответственности.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«Об адвокатской деятельности и адвокатуре в Российской Федерации» закрепляет, в частности, что адвокатской деятельностью является квалифицированная юридическая помощь, оказываемая на профессиональной основе лицами, получившими статус адвоката в порядке, установленном этим Федеральным законом, физическим и юридическим лицам в целях защиты их прав, свобод и интересов, а также обеспечения доступа к правосудию (пункт 1 статьи 1). При этом адвокат обязан наряду с прочим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средствами, а за неисполнение либо ненадлежащее исполнение своих профессиональных обязанностей адвокат несет ответственность, предусмотренную указанным Федеральным законом (подпункт 1 пункта 1 и пункт 2 статьи 7). Тем самым приведенные законоположения направлены не на ограничение, а, напротив, на защиту и обеспечение прав граждан, в том числе в сфере уголовного судопроизводства, и не содержат положений, предполагающих их произвольное применение. Аргументируя свою позицию лишь ссылками на обстоятельства производства по конкретному уголовному делу, В.Н.Ломов фактически ставит перед Конституционным Судом Российской Федерации вопрос о проверке соблюдения оспариваемого регулирования в этом деле с учетом его обстоятельств, разрешение которого, 3 между тем, не относится к компетенции Конституционного Суда Российской Федерации, как она закреплена в статье 125 Конституции Российской Федерации и статье 3 Федерального конституционного закона «О Конституционном Суде Российской Федерации».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Ломова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