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690335-П/2023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Гудакова Владислава Васильевича на нарушение его конституционных прав пунктом 1 статьи 181, пунктом 1 статьи 196 и статьей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В.В.Гудакова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В.В.Гудаков оспаривает конституционность пункта 1 статьи 181 «Сроки исковой давности по недействительным сделкам», пункта 1 статьи 196 «Общий срок исковой давности» и статьи 200 «Начало течения срока исковой давности» ГК Российской Федерации. Как следует из представленных материалов, решением суда общей юрисдикции, с которым согласились суды вышестоящих инстанций, удовлетворен ряд исковых требований арендатора земельного участка, связанных с оспариванием выдела из данного участка земельной доли и отчуждением образованного участка в собственность заявителя. Суды среди 2 прочего отметили, что в силу статьи 208 ГК Российской Федерации исковая давность не распространяется на требования владельца об устранении всяких нарушений его права, хотя бы эти нарушения не были соединены с лишением владения; в данном случае земельный участок из владения истца не выбывал. По мнению В.В.Гудакова, оспариваемые нормы не соответствуют статьям 45 и 55 (часть 3) Конституции Российской Федерации, поскольку они в силу своей неопределенности не позволяют применять трехгодичный срок исковой давности.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Гудакова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