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577791-П/2021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Александрова Сергея Юрьевича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гражданина С.Ю.Александрова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13 октября 2021 года гражданину С.Ю.Александрову, осужденному за совершение преступления, отказано в передаче для рассмотрения в судебном заседании суда кассационной инстанции его жалобы об оспаривании постановления районного суда от 1 ноября 2012 года, которым в отношении него (на тот момент имеющего статус подозреваемого) была избрана в порядке статьи 100 УПК Российской Федерации мера пресечения в виде заключения под стражу. 2 С.Ю.Александров просит признать не соответствующими Конституции Российской Федерации статьи 1, 5, пункт 2 части первой статьи 6, статьи 7–10, 11, 14–17, части третью и четвертую статьи 20, статью 22, пункты 1 и 2 части первой статьи 24, пункты 1 и 2 части первой статьи 27, пункт 1 части второй и часть четвертую статьи 29, статью 30, часть первую и пункты 1–3, 51, 6 и 8 части второй статьи 37, статьи 42, 91 и 92, части первую и вторую статьи 94, статью 97, часть первую статьи 100, части первую и третью статьи 101, части первую, третью, четвертую, пункты 1–3 части седьмой и часть восьмую статьи 108, статьи 297, 4011, 4012 и 4013 УПК Российской Федерации. Согласно позиции заявителя, приведенные положения позволили суду в его деле принять незаконное решение об избрании в отношении него меры пресечения в виде заключения под стражу, поскольку следственными органами не представлена в судебное заседание информация о потерпевшем. Кроме того, заявитель просит признать указанное судебное решение об избрании меры пресечения и последующие решения вышестоящих судебных инстанций также не соответствующими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в обоснование неконституционности оспариваемых С.Ю.Александровым законоположений, а также заявленные им требования свидетельствуют о том, что нарушение своих прав он связывает не с дефектом правовых норм, а с их неправильным, по его утверждению, применением либо неприменением в конкретном деле. Тем самым заявитель предлагает, прямо или косвенно, Конституционному Суду Российской Федерации оценить правомерность вынесенных по его делу правоприменительных решений. Между тем разрешение такого рода вопросов, равно как и иных поставленных в жалобе, к компетенции Конституционного Суда Российской Федерации, установленной статьей 125 Конституции Российской Федерации и статьей 3 Федерального 3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Александрова Сергея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