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783339-О/2024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«Эко-Планета» на нарушение его конституционных прав частью 3 статьи 94, а также частью 10 и пунктом 1 части 15 статьи 95 Федерального закона «О контрактной системе в сфере закупок товаров, работ, услуг для обеспечения государственных и муниципальных нужд»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общества с ограниченной ответственностью «Эко-Планета»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«Эко-Планета» (далее также – общество) оспаривает конституционность части 3 статьи 94 «Особенности исполнения контракта», а также части 10 и пункта 1 части 15 статьи 95 «Изменение, расторжение контракта»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Как следует из представленных материалов, решением арбитражного суда, с которым согласились суды вышестоящих инстанций, обществу 2 отказано в иске к государственному органу о признании решения об одностороннем отказе от исполнения контракта незаконным. По мнению заявителя, оспариваемые нормы противоречат статье 18 Конституции Российской Федерации, поскольку позволяют государственному заказчику расторгать контракт без проведения должной экспертизы результата выполненных по контракту работ.</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Между тем из представленных материалов следует, что с момента завершения рассмотрения дела заявителя, в котором применены оспариваемые положения (Определение судьи Верховного Суда Российской Федерации от 13 января 2023 года), и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«Эко-Планета», поскольку она не отвечает 3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