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статьей 74 и пунктами 1 и 3 статьи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статьи 74 «Требования, предъявляемые к решениям» и пунктов 1 и 3 статьи 97 «Допустимость жалобы» Федерального конституционного закона от 21 июля 1994 года № 1-ФКЗ «О Конституционном Суде Российской Федерации». Определением от 28 февраля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подчеркивал, что из права каждого на судебную защиту его прав и свобод, как оно сформулировано в статье 46 Конституции Российской Федерации, не следует возможность выбора гражданином по своему усмотрению любых способов и процедур судебной защиты,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