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Малкина Максима Юрьевича на нарушение его конституционных прав частью первой статьи 215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М.Ю.Малкина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назначено судебное заседание по уголовному делу в отношении гражданина М.Ю.Малкина. При этом довод заявителя о том, что следователь нарушил его право на защиту при объявлении об окончании предварительного следствия был отвергнут судами при рассмотрении как его жалоб на продление срока содержания под стражей, так и его ходатайства о возвращении уголовного дела прокурору. В этой связи М.Ю.Малкин оспаривает конституционность части первой статьи 215 «Окончание предварительного следствия с обвинительным заключением» УПК Российской Федерации, согласно которой, признав, что 2 все следственные действия по уголовному делу произведены, а собранные доказательства достаточны для составления обвинительного заключения, следователь уведомляет об этом обвиняемого и разъясняет ему предусмотренное статьей 217 этого Кодекса право на ознакомление со всеми материалами уголовного дела как лично, так и с помощью защитника, законного представителя, о чем составляется протокол в соответствии со статьями 166 и 167 этого же Кодекса. По мнению заявителя, оспариваемая норма противоречит статьям 15 (часть 4) и 48 Конституции Российской Федерации, поскольку допускает составление протокола об уведомлении обвиняемого об окончании предварительного следствия в отсутствие защитника.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проверяет конституционность законов и иных нормативных актов, примененных в конкретном деле, если на момент подачи гражданином жалобы на нарушение конституционных прав и свобод исчерпаны все другие внутригосударственные средства судебной защиты. Под таким исчерпанием понимается подача в соответствии с законодательством о соответствующем виде судопроизводства гражданином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гражданина (пункт 3 части первой статьи 3, пункт 5 части второй статьи 40, пункт 3 статьи 97 Федерального конституционного закона «О Конституционном Суде Российской Федерации»). 3 Однако представленные М.Ю.Малкиным материалы не позволяют сделать вывод об исчерпании им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Малкина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