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789258-О/2024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Григорий Людмилы Михайловны на нарушение ее конституционных прав пунктами 1, 3 и 4 статьи 234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Л.М.Григорий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Л.М.Григорий оспаривает конституционность пунктов 1, 3 и 4 статьи 234 «Приобретательная давность»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в удовлетворении исковых требований Л.М.Григорий о признании права собственности на земельный участок, об устранении препятствий в пользовании земельным участком отказано.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2 По мнению заявительницы, оспариваемые положения противоречат Конституции Российской Федерации, ее статьям 15, 17, 19, 35, 36, 45, 46 и 55, поскольку они по смыслу, придаваемому им правоприменительной практикой, препятствуют признанию права собственности в силу приобретательной давности за лицом, которое на протяжении длительного времени открыто, добросовестно и непрерывно владеет спорным имуществом, так как не содержат конкретных требований, предъявляемых к собственнику. Кроме того, Л.М.Григорий просит рассмотреть вопрос о пересмотре судебных постановлений по делу с ее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Григорий Людмилы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