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574560-П/2021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Котова Виктора Михайловича на нарушение его конституционных прав пунктом 1 части второй статьи 3904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В.М.Котова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В.М.Котов, кассационная жалоба которого в Судебную коллегию по гражданским делам Верховного Суда Российской Федерации на судебные постановления по делу, разрешенному мировым судьей, была возвращена без рассмотрения по существу письмом сотрудника аппарата Верховного Суда Российской Федерации, поскольку данные постановления судов оставлены без изменения кассационным судом общей юрисдикции, оспаривает конституционность пункта 1 части второй статьи 3904 «Порядок подачи кассационных жалобы, представления в судебную коллегию Верховного Суда Российской Федерации» ГПК Российской Федерации. 2 По мнению В.М.Котова, оспариваемое законоположение не соответствует статьям 18, 19 (части 1 и 2), 45, 46 (часть 1) и 52 Конституции Российской Федерации, поскольку оно ограничивает право на обращение в Судебную коллегию по гражданским делам Верховного Суда Российской Федерации с кассационной жалобой на определение кассационного суда общей юрисдикции, которым не было изменено или отменено судебное постановление мирового судьи или вынесенное по результатам его обжалования определение районного суда.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Котова Виктора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