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725783-О/2023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Малинина Алексея Николаевича на нарушение его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А.Н.Малинина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А.Н.Малинин оспаривает конституционность части второй статьи 1 «Законодательство о гражданском судопроизводстве», части четвертой статьи 11 «Нормативные правовые акты, применяемые судом при разрешении гражданских дел», части первой статьи 63 «Порядок выполнения судебного поручения», части третьей статьи 331 «Обжалование определений суда первой инстанции», статьи 3909 «Определение судьи об отказе в передаче кассационных жалобы, представления для рассмотрения в судебном заседании суда кассационной инстанции» и части четвертой статьи 407 «Судебные поручения» ГПК Российской Федерации. 2 Как следует из представленных материалов, решением суда общей юрисдикции, оставленным без изменения судами вышестоящих инстанций, исковые требования гражданки О. к А.Н.Малинину о лишении родительских прав оставлены без удовлетворения, в удовлетворении встречных исковых требований об ограничении в родительских правах, установлении юридического факта, восстановлении нарушенных прав, определении места жительства детей и порядка общения с ними также отказано. В ходе рассмотрения дела судом первой инстанции было дано судебное поручение суду, находящемуся в Федеративной Республике Германия, об опросе детей А.Н.Малинина, производство по делу на время исполнения поручения приостанавливалось.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А.Н.Малинина, оспариваемые законоположения по смыслу, придаваемому им правоприменительной практикой в системе действующего правового регулирования, противоречат Конституции Российской Федерации, ее статьям 15 (часть 4), 19 (часть 1), 21 (часть 1), 45 (часть 1) и 46 (часть 1), поскольку позволяют суду не применять нормы международного договора, ненадлежащим образом направлять поручение иностранному суду, не извещать лиц, участвующих в деле, о времени и месте заседания по выполнению судебного поручения иностранным судом, не проверять в апелляционном порядке определение суда первой инстанции, часть которого ранее была признана законной, не указывать мотивы, по которым были отклонены доводы кассационной жалобы, в связи с чем было отказано в передаче этой жалобы для ее рассмотрения в судебном заседании суда кассационной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Доводы, приведенные А.Н.Малининым в обоснование своей позиции, свидетельствуют о том, что нарушение конституционных прав он связывает не с содержанием оспариваемых законоположений, а с неверным, по его мнению, выбором судом норм права, подлежащих применению при разрешении дела с его участием, и допущенными, как он полагает, по этому делу процессуальными нарушениями. Разрешение же данных вопросов, предполагающее оценку правомерности принятых по делу с участием заявителя судебных постановлений,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Малинина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