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561395-П/2021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Сафонова Дениса Романовича на нарушение его конституционных прав пунктом 3 части второй статьи 38, частью первой статьи 192, частью первой статьи 193, статьями 276 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Д.Р.Сафонова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Д.Р.Сафонов утверждает, что пункт 3 части второй статьи 38 «Следователь», часть первая статьи 192 «Очная ставка», часть первая статьи 193 «Предъявление для опознания», статьи 276 «Оглашение показаний подсудимого» и 281 «Оглашение показаний потерпевшего и свидетеля» УПК Российской Федерации, будучи примененными при производстве по уголовному делу, в рамках которого ему предъявлено обвинение, нарушили его права, гарантированные статьями 15 (часть 4), 46 (часть 1) и 123 (часть 3) Конституции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Сафонова Дениса Романовича,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