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795394-О/2024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Крестьянинова Александра Михайловича на нарушение его конституционных прав пунктом 1 статьи 15 и пунктом 1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А.М.Крестьянинова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А.М.Крестьянинов оспаривает конституционность пункта 1 статьи 15 «Возмещение убытков» и пункта 1 статьи 1064 «Общие основания ответственности за причинение вреда» ГК Российской Федерации. Решением суда общей юрисдикции с учетом его частичного изменения судом апелляционной инстанции с А.М.Крестьянинова, бывшего государственного гражданского служащего, замещавшего должность судебного пристава-исполнителя, по иску Федеральной службы судебных приставов взыскан в порядке регресса ущерб, причиненный им третьему лицу при исполнении служебных обязанностей и взысканный судом в пользу 2 третьего лица с Российской Федерации. Отвергая довод ответчика о несоблюдении истцом обязанности установить размер причиненного последнему ущерба и причины его возникновения в порядке, предусмотренном статьей 247 Трудового кодекса Российской Федерации, суды указали, что факт причинения ущерба действиями А.М.Крестьянинова, его вина, размер ущерба, а также отсутствие обстоятельств, исключающих материальную ответственность А.М.Крестьянинова, установлены вступившим в законную силу решением суда, имеющим преюдициальное значение для рассматриваемого дела. Решение суда первой инстанции в неизмененной части и определение суда апелляционной инстанции оставлены без изменения кассационным судом общей юрисдикции.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А.М.Крестьянинова, оспариваемые положения не соответствуют статьям 19 (части 1 и 2), 23 (часть 1), 55 (части 2 и 3) и 123 (часть 3) Конституции Российской Федерации, поскольку они во взаимосвязи с положениями главы 39 «Материальная ответственность работника» Трудового кодекса Российской Федерации являются неопределенными и допускают возможность их неоднозначного истолкования.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15 и пункт 1 статьи 1064 ГК Российской Федерации, закрепляющие гарантии защиты и восстановления нарушенных прав потерпевших путем полного возмещения причиненного им вреда, служат цели реализации закрепленного в Конституции Российской Федерации принципа охраны права частной собственности законом (статья 35, часть 1), не содержат неопределенности, не допускают произвольного истолкования и не могут рассматриваться как нарушающие конституционные права А.М.Крестьянинова в обозначенном в его жалобе аспекте. 3 Проверка же обоснованности привлечения заявителя к материальной ответственности, а также соблюдения работодателем соответствующей процедуры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Крестьянинова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