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605863-П/2022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проверить на соответствие статьям 21 (часть 1), 23 (часть 1), 35, 45, 46 (части 1 и 2) и 52 Конституции Российской Федерации статьи 125 «Судебный порядок рассмотрения жалоб», 144 «Порядок рассмотрения сообщения о преступлении», 145 «Решения, принимаемые по результатам рассмотрения сообщения о преступлении», 148 «Отказ в возбуждении уголовного дела», подпункт «в» пункта 1 части второй статьи 151 «Подследственность», статьи 38913 «Порядок рассмотрения уголовного дела судом апелляционной инстанции», 38920 «Решения, принимаемые судом апелляционной инстанции», 38928 «Апелляционные приговор, определение и постановление», пункт 1 части второй статьи 40110 2 «Действия суда кассационной инстанции при поступлении кассационных жалобы, представления» и статью 40111 «Решения судьи суда кассационной инстанции, принимаемые им по результатам рассмотрения кассационных жалобы, представления» УПК Российской Федерации. Как утверждается в жалобе, оспариваемые нормы являются дефектными, поскольку не обеспечивают эффективной защиты прав потерпевших в уголовном судопроизводстве.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Э.А.Гусейновым положения статей 125, 144, 145, 148, 151, 38913, 38920, 38928, 40110 и 40111 УПК Российской Федерации регламентируют порядок осуществления процессуальных действий и механизмы защиты интересов лиц, участвующих в производстве по уголовному делу, не содержат положений, допускающих произвольный, необоснованный или немотивированный характер принимаемых на их основе решений. Соответственно, отсутствуют основания утверждать, что данные законоположения нарушают конституционные права Э.А.Гусейнова в указанном им аспекте. При этом в жалобе, по существу, не приведены доводы о неконституционности оспариваемых законоположений.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