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Дубровского Владимира Анатольевича на нарушение его конституционных прав статьей 1072 и пунктом 1 статьи 1086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В.А.Дубровского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В.А.Дубровский оспаривает конституционность статьи 1072 «Возмещение вреда лицом, застраховавшим свою ответственность» и пункта 1 статьи 1086 «Определение заработка (дохода), утраченного в результате повреждения здоровья» ГК Российской Федерации. Как следует из представленных материалов, решением суда общей юрисдикции, с которым согласились суды вышестоящих инстанций, отказано в удовлетворении искового требования заявителя к бывшему работодателю о взыскании утраченного заработка в размере, рассчитанном как разница между размером утраченного заработка и размером страховых выплат по производственной травме и профессиональному заболеванию. В обоснование 2 иска было среди прочего указано, что при определении размера возмещения следует исходить из факта полной утраты профессиональной трудоспособности. По мнению заявителя, оспариваемые нормы не соответствуют статьям 18, 19 (части 1 и 2), 45 (часть 1), 46 (часть 1), 52, 55 и 751 Конституции Российской Федерации, поскольку ограничивают право пострадавшего на возмещение в полном объеме разницы между размером заработка на момент причинения вреда здоровью и размером назначенных страховых выплат в связи с повреждением здоровья вследствие несчастного случая на производстве и профессионального заболевания.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направлены на обеспечение восстановления нарушенных, в том числе в результате причинения вреда здоровью, прав граждан путем полного возмещения вреда и тем самым на реализацию положений Конституции Российской Федерации, в частности ее статьи 52. Сами по себе они не могут рассматриваться как нарушающие указанные в жалобе конституционные права заявителя, чьи доводы о том, что он полностью утратил профессиональную трудоспособность, были предметом судебной оценки в его деле и опровергнуты доказательствами, на основании которых суды пришли к выводу, что размер страховой выплаты, установленной В.А.Дубровскому исходя из размера утраченного им заработка с учетом степени утраты профессиональной трудоспособности, полностью возмещает утраченный заработок. Исследование же фактических обстоятельств конкретного дела, включая степень утраты профессиональной трудоспособности и размер подлежащего возмещению вреда,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Дубровского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