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603388-П/2022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Пеньковой Натальи Александровны на нарушение ее конституционных прав пунктом 1 статьи 246 и статьей 247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Н.А.Пеньковой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инстанции, с которым согласился Верховный Суд Российской Федерации, гражданке Н.А.Пеньковой отказано в удовлетворении требования о возмещении убытков, предъявленного к сособственнику нежилого помещения, не давшему согласия на передачу этого помещения в аренду. Заявительница оспаривает конституционность пункта 1 статьи 246 и статьи 247 (фактически – ее пункта 1) ГК Российской Федерации о порядке владения, пользования и распоряжения имуществом, находящимся в долевой собственности. 2 По ее мнению, оспариваемые нормы не соответствуют статьям 34 (часть 1) и 35 Конституции Российской Федерации в той мере, в какой они по смыслу, придаваемому им судом кассационной инстанции в конкретном деле Н.А.Пеньковой, препятствуют собственнику имущества при недобросовестном поведении второго собственника, направленном на воспрепятствование пользованию и распоряжению коммерческой недвижимостью (необоснованном отказе от заключения договора аренды) законно сдавать нежилые помещения в аренду и извлекать прибыль – достигать цели, ради которой собственниками приобреталась коммерческая недвижимость; создают условия для злоупотребления правом недобросовестными сособственниками; препятствуют защите права собственности и реализации конституционных гарантий свободы экономической деятельности; создают стимулы для ведения предпринимательской деятельности с нарушением закона – сдачи в аренду коммерческих помещений без согласия второго собственника.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Обжалуемые законоположения, определяющие, что владение, пользование и распоряжение имуществом, находящимся в долевой собственности, осуществляется по соглашению всех ее участников, а при недостижении согласия о владении и пользовании – в порядке, устанавливаемом судом, обеспечивают баланс интересов всех сособственников и сами по себе не могут рассматриваться как нарушающие конституционные права заявительницы, перечисленные в жалобе. Разрешение же вопросов о том, имело ли место в деле с участием Н.А.Пеньковой недобросовестное поведение второго собственника, злоупотребление им правом, имелось ли между сособственниками соглашение о порядке использования спорного помещения, связано с установлением, исследованием и оценкой фактических обстоятельств конкретного дела, что к компетенции Конституционного Суда Российской 3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Пеньковой Натальи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