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757459-О/2024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Бедрина Игоря Николаевича на нарушение его конституционных прав статьей 91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И.Н.Бедрина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И.Н.Бедрин оспаривает конституционность статьи 91 «Цена иска» ГПК Российской Федерации. Как следует из представленных материалов, определением суда общей юрисдикции, оставленным без изменения судами вышестоящих инстанций, И.Н.Бедрину возвращено исковое заявление к юридическому лицу о взыскании 19 900 рублей (суммы, уплаченной за товар) и 100 000 рублей (компенсации морального вреда), истцу разъяснено право обратиться с данным исковым заявлением к мировому судье. При этом суд исходил из того, что цена заявленного иска составляет 19 900 рублей, поскольку 2 требование о компенсации морального вреда является производным от требования о взыскании суммы, оплаченной по договору. Определением судьи Верховного Суда Российской Федерации, с которым согласился заместитель Председателя этого суда, заявителю было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Федерации. И.Н.Бедрин просит признать неконституционным оспариваемое законоположение в той мере, в какой оно, допуская возможность его произвольного применения, лишает гражданина права на рассмотрение дела в том суде и тем судьей, к подсудности которых оно отнесено законом.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91 ГПК Российской Федерации, предусматривая правила определения цены иска и устанавливая обязанность истца указать такую цену, допускает определение цены иска судьей при принятии искового заявления в случае явного несоответствия указанной цены действительной стоимости истребуемого имущества. Данное законоположение, рассматриваемое также с учетом разъяснения Пленума Верховного Суда Российской Федерации о том, что если одновременно с требованием имущественного характера, подсудным мировому судье, заявлено производное от него требование о компенсации морального вреда (например, по делам о защите прав потребителей), то такие требования подсудны мировому судье, независимо от заявленной истцом суммы компенсации морального вреда (пункт 57 постановления от 15 ноября 2022 года № 33 «О практике применения судами норм о компенсации морального вреда»), способствует определению подсудности конкретного дела, реализации тем самым права каждого на рассмотрение его дела в том суде и тем судьей, к подсудности которых оно отнесено законом (статья 47, часть 1, Конституции Российской Федерации), и не содержит указанной 3 И.Н.Бедриным неопределенности, допускающей возможность его произвольного применения, а потому не может расцениваться как нарушающее конституционные права заявителя.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Бедрина Игоря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