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Владислава Игоревича на нарушение его конституционных прав пунктом 3 статьи 304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В.И.Борисова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В.И.Борисову было отказано в передаче его надзорной жалобы для рассмотрения в судебном заседании Президиума Верховного Суда Российской Федерации. Принимая такое решение, судья исходил в том числе из того, что неполнота вводной части приговора не является нарушением уголовно-процессуального закона, повлиявшим на исход дела и ставящим под сомнение законность итогового решения по нему. В этой связи заявитель просит признать нарушающим его конституционные права пункт 3 статьи 304 «Вводная часть приговора» УПК 2 Российской Федерации в той мере, в какой он по смыслу, придаваемому правоприменительной практикой, допускает возможность суду первой инстанции при составлении приговора не указывать всех участников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304 УПК Российской Федерации в вводной части приговора указываются наименование суда, постановившего приговор, состав суда, данные о помощнике судьи, секретаре судебного заседания, обвинителе, защитнике, потерпевшем, гражданском истце, гражданском ответчике и об их представителях. Следовательно, оспариваемая В.И.Борисовым норма, устанавливающая формальные требования к вводной части приговора, неопределенности не содержит и не может расцениваться как нарушающая его конституционные права в обозначенном им аспекте. Таким образом,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Владислава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