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зниченко Игоря Викторовича на нарушение его конституционных прав пунктом 4 статьи 1152 и пунктом 2 статьи 115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Резн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Резниченко оспаривает конституционность пункта 4 статьи 1152 «Принятие наследства» и пункта 2 статьи 1153 «Способы принятия наследства» ГК Российской Федерации. Как следует из представленных материалов, определением суда апелляционной инстанции, с которым согласились суды кассационной инстанции, частично удовлетворен иск гражданки С. к ряду ответчиков; удовлетворено требование об изъятии земельного участка из владения И.В.Резниченко. Суд на основе применимого к спорному отношению права установил, что истица являлась сособственником указанного земельного участка, который выбыл из ее владения помимо ее воли. 2 По мнению заявителя, оспариваемые нормы противоречат статьям 2, 17, 18, 35 и 36 (часть 1) Конституции Российской Федерации, поскольку они не устанавливают требований к сроку, в течение которого наследник обязан совершить действия по регистрации своего права, обеспечив публичность (доступность) сведений о своем праве, чем допускают истребование имущества от добросовестного приобрета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зниченко Игоря Виктор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