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221031-П/2015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декабря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Корчина Дениса Александровича на нарушение его конституционных прав статьей 10, частями второй и шестой статьи 15 Уголовного кодекса Российской Федерации, а также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Д.А.Корчина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3 наказание подлежит сокращению в пределах, предусмотренных новым уголовным законом (часть вторая). Как указал Статья 38917 УПК Российской Федерации определяет основания отмены или изменения судебного решения судом апелляционной инстанции и не регулирует особенности производства в суде кассационной инстанции (Определение Конституционного Суда Российской Федерации от 19 ноября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Корчина Дениса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