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650576-П/2022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Михайловича на нарушение его конституционных прав статьей 4013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А.М.Смирнова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от 24 февраля 2022 года гражданину А.М.Смирнову возвращена кассационная жалоба об оспаривании вынесенных в его отношении приговора и апелляционного определения в связи с тем, что 12 января 2022 года судебной коллегией по уголовным делам кассационного суда общей юрисдикции уже была рассмотрена кассационная жалоба защитника. Суд кассационной инстанции согласился с таким решением (постановление судьи Восьмого кассационного суда общей юрисдикции от 19 августа 2022 года). 2 Кроме того, из представленных материалов следует, что А.М.Смирнов был уведомлен о времени и месте судебного заседания суда кассационной инстанции, принимал в нем участие и не был лишен возможности изложить свою позицию по делу (письмо судьи Верховного Суда Российский Федерации от 22 сентября 2022 года). В этой связи заявитель просит признать не соответствующей статье 50 (часть 3) Конституции Российской Федерации статью 4013 «Порядок и сроки подачи кассационных жалобы, представления, порядок восстановления срока кассационного обжалования» УПК Российской Федерации, поскольку, по его утверждению, данная норма лишает осужденного права на пересмотр приговора в порядке сплошной кассации в случае подачи защитником наряду с самим осужденным отдельной кассационной жалобы, производство по которой началось раньше.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представленных материалов следует, что А.М.Смирнов принимал участие в судебном заседании суда кассационной инстанции (в порядке сплошной кассации в кассационном суде общей юрисдикции), инициированном по жалобе его защитника. Кроме того, заявитель не лишен возможности в порядке выборочной кассации обратиться в Верховный Суд Российской Федерации с жалобой об оспаривании постановленного в его отношении приговора и последующих судебных решений. При таких обстоятельствах отсутствуют основания полагать, что статья 4013 УПК Российской Федерации, регулирующая порядок и сроки подачи кассационных жалобы, представления, а также порядок восстановления срока кассационного обжалования, нарушает конституционные права заявителя в обозначенном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