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Калачевой Галины Владимировны на нарушение ее конституционных прав пунктом 4 части первой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Г.В.Калачевой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23 марта 2021 года требование гражданки Г.В.Калачевой о возмещении ей материального вреда, причиненного незаконным и необоснованным уголовным преследованием, в виде сумм, выплаченных ей за оказание юридической помощи, удовлетворено частично. В этой связи Г.В.Калачева оспаривает конституционность пункта 4 части первой статьи 135 «Возмещение имущественного вреда» УПК Российской Федерации, согласно которой возмещение реабилитированному имущественного вреда включает в себя возмещение сумм, выплаченных им за оказание юридической помощи. По мнению заявительницы, суд применил оспариваемую норму в истолковании, расходящемся с ее конституционно- 2 правовым смыслом, выявленным Конституционным Судом Российской Федерации в Постановлении от 23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Калачевой Галины Владимировны,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