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Масляевой Елены Сергеевны на нарушение ее конституционных прав пунктом 3 статьи 1083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Е.С.Масляевой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Е.С.Масляева оспаривает конституционность пункта 3 статьи 1083 «Учет вины потерпевшего и имущественного положения лица, причинившего вред» ГК Российской Федерации. Как следует из представленных материалов, решением суда первой инстанции с учетом определения суда апелляционной инстанции, с которым согласились суды вышестоящих инстанций, с Е.С.Масляевой взыскано возмещение вреда, причиненного ее несовершеннолетним сыном. 2 По мнению Е.С.Масляевой, оспариваемая норма не соответствует статье 671 Конституции Российской Федерации, поскольку противоречит принципу приоритета детей в государственной политике.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заявительницы и доводы, приведенные в обоснование ее позиции, свидетельствуют о том, что нарушение своих конституционных прав она связывает не с содержанием оспариваемых нормативных положений, а с неправильным, по ее мнению, их применением судами общей юрисдикции, с постановлениями которых она фактически выражает несогласие. Между тем установление фактических обстоятельств дела и оценка правильности применения судами норм права с учетом этих обстоятельств, равно как и разрешение иных поставленных в жалобе вопросов,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Масляевой Елены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