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722202-О/2023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Хачатурова Михаила Валентиновича на нарушение его конституционных прав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М.В.Хачатурова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судом апелляционной инстанции и кассационным судом общей юрисдикции, удовлетворено заявление гражданки В. о взыскании судебных расходов, понесенных ею при рассмотрении судом заявления гражданина М.В.Хачатурова о взыскании судебных расходов, производство по которому было прекращено в связи с принятием судом отказа заявителя от данного требования. В связи с этим М.В.Хачатуров оспаривает конституционность части первой статьи 98 «Распределение судебных расходов между сторонами» ГПК 2 Российской Федерации и полагает ее не соответствующей статье 46 (часть 1) Конституции Российской Федерации, поскольку она позволяет суду удовлетворить заявление о взыскании судебных расходов стороны, не в пользу которой состоялось решение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Представленные материалы не позволяют сделать вывод об исчерпании М.В.Хачатуровым, приложившим к жалобе копии постановлений судов первой, апелляционной и кассационной инстанций, всех внутригосударственных средств судебной защиты.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Хачатурова Михаила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