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Рыжкова Сергея Васильевича на нарушение его конституционных прав пунктами 1, 2, 21 и 3 части второй статьи 30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С.В.Рыжкова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С.В.Рыжков, осужденный и отбывающий наказание, утверждает, что пункты 1, 2, 21 и 3 части второй статьи 30 «Состав суда» УПК Российской Федерации лишили его права на рассмотрение уголовного дела законным составом суда, чем нарушили права, гарантированные статьями 2, 23, 45–47 и 50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оспариваемый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 из представленных С.В.Рыжковым материалов следует, что обвинительный приговор по его уголовному делу вынесен и вступил в законную силу в 2017 году, в передаче его кассационной жалобы для рассмотрения в судебном заседании суда кассационной инстанции ему отказано постановлением судьи Верховного Суда Российской Федерации, с чем 11 октября 2019 года согласился заместитель Председателя Верховного Суда Российской Федерации. 9 августа 2021 года письмом судьи Верховного Суда Российской Федерации заявителю возвращена его жалоба без рассмотрения, поскольку право на обжалование вступивших в законную силу судебных решений в Верховный Суд Российской Федерации им в полном объеме реализовано.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Рыжкова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