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797685-О/2024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Ш. на нарушение его конституционных прав пунктом 1 статьи 152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Ш.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Ш., в удовлетворении требований которого о признании сведений не соответствующими действительности, порочащими его честь и достоинство, а также о взыскании компенсации морального вреда отказано, оспаривает конституционность пункта 1 статьи 152 «Защита чести, достоинства и деловой репутации» ГК Российской Федерации. По мнению заявителя, оспариваемая норма противоречит статьям 17, 18, 21 (часть 1), 23 (часть 1), 45 (часть 1), 46 (часть 1) и 56 (часть 3) Конституции Российской Федерации в той мере, в какой по смыслу, придаваемому ей правоприменительной практикой, в системе действующего правового регулирования она позволяет судам отказывать в удовлетворении требований о защите чести и достоинства гражданина в ситуации, когда 2 распространенные сведения, порочащие честь и достоинство этого гражданина, имели форму утверждения, что подтверждено судебной лингвистической экспертизой.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Ш. в жалобе (в частности, о том, что суды неверно установили и проанализировали фактические обстоятельства дела, выводы судов не основаны на действующем законодательстве), свидетельствуют о том, что он, формально оспаривая конституционность указанной в жалобе нормы, фактически просит проверить правильность ее применения судами в конкретном деле с его участием. Между тем такая проверка, сопряженная с оценкой доказательств и исследованием фактических обстоятельств конкретного дела, не входит в полномочия Конституционного Суда Российской Федерации, закрепленные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