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33669-П/2004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Тюменской области о проверке конституционности части первой статьи 2 и части первой статьи 5 Закона Российской Федерации "О налоге на операции с ценными бумагами"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Тюменской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Арбитражного суда Тюменской области находится дело по заявлению ОАО "ТНК-Уват" о признании недействительным вынесенного в отношении него решения инспекции Министерства Российской Федерации по налогам и сборам по Тюменской области об обязании возвратить излишне уплаченную сумму налога на операции с ценными бумагами и взыскании процентов за нарушение сроков возврата налога (первоначальное решение по данному делу и постановление апелляционной инстанции было отменено судом кассационной инстанции, а дело направлено на новое рассмотрение). Как следует из представленных материалов, 15 сентября 2001 года собрание акционеров ОАО "ТНК-Уват" приняло решение о реорганизации общества в форме присоединения и увеличении уставного капитала путем выпуска ценных бумаг и, направив в орган, осуществляющий регистрацию эмиссии ценных бумаг, необходимые документы, перечислило в федеральный бюджет налог на операции с ценными бумагами в сумме 2365761 руб. 5 декабря 2001 года собрание акционеров вынесло новое решение - о реорганизации ОАО "ТНК-Уват" в форме преобразования в общество с ограниченной ответственностью, отозвало документы на регистрацию эмиссии ценных бумаг и направило в налоговый орган заявление о возврате излишне уплаченных сумм налога и о зачете соответствующих сумм в счет предстоящих платежей, однако в удовлетворении заявленных требований ОАО "ТНК-Уват" было отказано. Арбитражный суд Тюменской области, придя к выводу о том, что подлежащие применению в данном деле часть первая статьи 2 и часть первая статьи 5 Закона Российской Федерации "О налоге на операции с ценными бумагами" не соответствуют Конституции Российской Федерации, приостановил производство по делу 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Налог на операции с ценными бумагами в системе налогов и сборов в Российской Федерации, приведенной в Налоговом кодексе Российской Федерации (статьи 12-15), отсутствует, однако он указан в числе федеральных налогов в статье 19 Закона Российской Федерации от 27 декабря 1991 года "Об основах налоговой системы в Российской Федерации", которая в этой части продолжает действовать до принятия в полном объеме части второй Налогового кодекса Российской Федерации. Названный закон под налогом, сбором, пошлиной и другим платежом понимает обязательный взнос в бюджет соответствующего уровня или во внебюджетный фонд, осуществляемый налогоплательщиками в порядке и на условиях, определяемых законодательными актами (статья 2). Это, однако, не означает, что правовое регулирование налогов и сборов должно быть во всем одинаковым.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Обязательный платеж (сбор), установленный Законом Российской Федерации "О налоге на операции с ценными бумагами", уплачивается, согласно его статье 5, плательщиком-эмитентом одновременно с представлением документов на регистрацию эмиссии. Его взимание на данном этапе эмиссии обусловлено тем, что государственная регистрация выпуска (дополнительного выпуска) эмиссионных ценных бумаг осуществляется на основании заявления эмитента, в котором обозначена номинальная сумма выпуска ценных бумаг и с юридическим оформлением которого законодательство о налогах и сборах связывает возникновение у налогоплательщика обязанности по уплате указанного платежа. Государственная регистрация выпуска (дополнительного выпуска) эмиссионных ценных бумаг и контроль за соблюдением эмитентами предусмотренных в них условий и обязательств является одним из направлений государственного регулирования фондового рынка ценных бумаг (статья 38 Федерального закона "О рынке ценных бумаг"). Сама же процедура государственной регистрации - учитывая состав информации в документах, представляемых в регистрирующий орган и подтверждающих соблюдение эмитентом необходимых условий и требований законодательства Российской Федерации, установленных для ее прохождения, - имеет целью осуществление государственного контроля за соблюдением эмитентами ценных бумаг минимального уровня гарантий реализации прав их держателей. Исчерпывающий перечень таких документов (одним из которых в случаях, предусмотренных законодательством Российской Федерации о налогах и сборах при эмиссии ценных бумаг, может быть документ об уплате налога или сбора) определяется нормативными правовыми актами федерального органа исполнительной власти по рынку ценных бумаг (пункт 2 статьи 20 Федерального закона "О рынке ценных бумаг"). Таким образом, оспаривая конституционность части первой статьи 5 Закона Российской Федерации "О налоге на операции с ценными бумагами", заявитель, по сути, ставит вопрос об оценке целесообразности механизма реализации Закона Российской Федерации "О налоге на операции с 4 ценными бумагами" и Федерального закона "О рынке ценных бумаг", разрешение которого также не относится к полномочиям Конституционного Суда Российской Федерации. Исходя из изложенного и руководствуясь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Тюменской области, поскольку разрешение поставленных в нем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