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743321-О/2024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февраля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Арьковой Валентины Ивановны на нарушение ее конституционных прав пунктами 1 и 2 статьи 1179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В.И.Арьковой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В.И.Арькова оспаривает конституционность пунктов 1 и 2 статьи 1179 «Наследование имущества члена крестьянского (фермерского) хозяйства» ГК Российской Федерации. Как следует из представленных материалов, определением суда общей юрисдикции, с которым согласились суды вышестоящих инстанций, удовлетворено заявление истцов о замене умершего ответчика – бывшего главы крестьянского (фермерского) хозяйства его правопреемником – гражданкой В.И.Арьковой в связи с необходимостью рассмотрения вопроса о возмещении ответчиком судебных расходов. 2 По мнению В.И.Арьковой, оспариваемая норма не соответствует статье 35 (часть 4) Конституции Российской Федерации, поскольку позволяет возлагать на наследника физического лица обязательства, порожденные деятельностью крестьянского (фермерского) хозяйства как корпорации, которую возглавлял наследодатель и которая продолжила свое существование после его смерти.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Арьковой Валентины Ивановны, поскольку она не отвечает требованиям Федерального 3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