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Земцева Михаила Владимировича на нарушение его конституционных прав Кодексом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М.В.Земцева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М.В.Земцев оспаривает конституционность Кодекса административного судопроизводства Российской Федерации. Как следует из представленных материалов определением суда общей юрисдикции, с которым согласились суды вышестоящих инстанций, заявителю отказано в принятии административного искового заявления о признании незаконными действий (бездействия) заместителя председателя Верховного Суда Российской Федерации, выразившихся в отказе в передаче кассационной жалобы для рассмотрения в судебном заседании суда кассационной инстанции. Как указал суд, действия судьи сами по себе не могут быть самостоятельным предметом оспаривания в порядке административного судопроизводства. 2 По мнению заявителя, оспариваемый Кодекс нарушает его права, а потому противоречит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Земцева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