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795782-О/2024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Божефатовой Валентины Николаевны на нарушение ее конституционных прав статьей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гражданки В.Н.Божефатовой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В.Н.Божефатова оспаривает конституционность статьи 390 «Полномочия кассационного суда общей юрисдикции» ГПК Российской Федерации. Как следует из представленных материалов, определением кассационного суда общей юрисдикции оставлены без изменения судебные постановления судов первой и апелляционной инстанций, принятые по делу с участием В.Н.Божефатовой. Определением судьи Верховного Суда Российской Федерации заявительнице было отказано в передаче кассационной жалобы для 2 рассмотрения в судебном заседании Судебной коллегии по гражданским делам этого суда. В связи с этим В.Н.Божефатова просит признать статью 390 ГПК Российской Федерации не соответствующей Конституции Российской Федерации, поскольку при рассмотрении ее кассационных жалоб, в том числе судьей Верховного Суда Российской Федерации, были нарушены нормы процессуального и материального права.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Божефатовой Валентины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