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731690-О/2023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Мироненко Людмилы Яковлевны на нарушение ее конституционных прав статьями 3907 и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Л.Я.Мироненко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Л.Я.Мироненко, которой определением судьи Верховного Суда Российской Федерации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Федерации, оспаривает конституционность статей 3907 «Рассмотрение кассационных жалобы, представления»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2 По мнению заявительницы, применением оспариваемых норм были нарушены ее права, гарантированные статьями 17–19, 35, 53 и 55 Конституции Российской Федерации. Кроме того, Л.Я.Мироненко просит Конституционный Суд Российской Федерации удовлетворить ее исковые требования, заявленные в суде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Мироненко Людмилы Яковлевны,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