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2754-О/2024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Милидонова Михаила Геннадьевича на нарушение его конституционных прав частью тринадцатой статьи 109 и частью четвертой статьи 38911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М.Г.Милидонова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М.Г.Милидонов, привлеченный к уголовной ответственности, просит признать не соответствующими статьям 15 (часть 3), 18, 45 (часть 2), 46 (часть 1) и 123 (части 2 и 3) Конституции Российской Федерации часть тринадцатую статьи 109 «Сроки содержания под стражей» и часть четвертую статьи 38911 «Назначение и подготовка заседания суда апелляционной инстанции» УПК Российской Федерации. По мнению заявителя, данные нормы позволяют судам вышестоящих инстанций в случае отмены приговора продлевать, а также изменять меру пресечения в виде заключения под стражу в отсутствие обвиняемого, отказавшегося от участия 2 в рассмотрении апелляционной, кассационной жалоб (представлений) на приговор.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 М.Г.Милидонов оспаривал конституционность, в частности, части тринадцатой статьи 109 и части четвертой статьи 38911 УПК Российской Федерации в аналогичном аспекте в предшествующей жалобе, по результатам изучения которой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Милидонова Михаила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