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324462-П/2018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«Дека» на нарушение конституционных прав и свобод пунктом 14 статьи 187 и пунктом 5 статьи 200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АО «Дека»,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Нормативно- правовое регулирование в сфере налогообложения, осуществляемое с учетом конституционно-правовой природы налогов как необходимой экономической основы существования и деятельности государства, по смыслу статьи 57 Конституции Российской Федерации во взаимосвязи с положениями ее статей 1 (часть 1), 19 (части 1 и 2) и 55 (часть 3), должно быть основано на конституционном принципе равенства, который исключает придание налогам и сборам дискриминационного характера. Вместе с тем оно должно создавать надлежащие условия исполнения налоговой обязанности, что предполагает достаточную свободу законодательного усмотрения при установлении конкретных налогов и определении параметров основных элементов налога, в том числе состава налогоплательщиков и объектов налогообложения, стоимостных и (или) количественных показателей, необходимых для определения налоговой базы, порядка исчисления налога, а также оснований и порядка освобождения от налогообложения. В силу конституционного требования о необходимости уплаты только законно установленных налогов и сборов во взаимосвязи с предписаниями статей 15 и 18 Конституции Российской Федерации налоговая обязанность должна, среди прочего, пониматься как обязанность платить налоги в размере не большем, чем это установлено законом, в котором определены все 4 существенные элементы налогового обязательства, включая объект налогообложения, налоговую базу, порядок исчисления и уплаты налога, а механизм налогообложения должен обеспечивать полноту и своевременность их взимания с обязанных лиц и одновременно правомерность деятельности уполномоченных органов и должностных лиц, связанной с изъятием средств налогообложения; именно соблюдение конституционных предписаний относительно формальной определенности и полноты элементов налогового обязательства при формировании структуры налога и учет объективных характеристик экономико-правового содержания налога обеспечивают эффективность налогообложения и реальность его целей и позволяют налогоплательщикам своевременно уплатить налог, а налоговым органам – осуществлять контроль за действиями налогоплательщиков по уплате налоговых сумм в бюджет; налоги устанавливаются законодателем в соответствии с сущностью каждого из них и как элементы единой налоговой системы, параметры и условия функционирования которой применительно к каждому налогоплательщику определяются объективными закономерностями и требованиями, включая экономическую обоснованность и недопустимость произвольного установления налога (определения Конституционного Суда Российской Федерации от 1 октября 2009 года В Определении от 7 ноября 2008 года Акциз по своему экономико-правовому содержанию (сущности) призван, влияя на цену товара определенной категории, уменьшать доходность производства и реализации этого товара и тем самым становиться барьером для поступления его на рынок, а значит, и для его потребления. Соответственно, федеральный законодатель вправе установить такие особенности взимания акциза при продаже, в частности алкогольной продукции, которые при всей ее специфике и трудностях контроля за процессом ее реализации обусловливали бы обложение акцизом каждой новой поставки на рынок данного подакцизного товара. Такое правовое регулирование в силу экономико-правовой природы акциза не должно рассматриваться как влекущее двойное налогообложение. При установлении механизма исчисления указанного налога законодатель вправе также предусмотреть, что в случаях, когда подакцизный товар не был реализован конечному потребителю, не исключается возможность уменьшить налогооблагаемую базу по акцизу на ранее уплаченную сумму акциза. Вводя в главе 22 Налогового кодекса Российской Федерации такой налог, как акциз, правила его исчисления (статья 194), в том числе особенности механизма исчисления его итоговой суммы, федеральный законодатель признал объектом налогообложения реализацию товара (статья 182), закрепил порядок определения налоговой базы при реализации (передаче) или получении подакцизных товаров (статья 187), а также предусмотрел право уменьшить сумму акциза по подакцизным товарам на налоговые вычеты – за отдельными исключениями (статья 200), установив тем самым все существенные элементы механизма уплаты акциза в зависимости от вида реализуемого товара. Федеральным законом от 5 апреля 2016 года № 101-ФЗ «О внесении изменений в часть первую и главу 22 части второй Налогового кодекса Российской Федерации» статья 187 Налогового кодекса Российской Федерации 8 была дополнена пунктом 14, согласно которому налоговая база, исчисленная налогоплательщиком по операциям реализации произведенной им алкогольной и (или) подакцизной спиртосодержащей продукции, на объем указанной продукции, возвращенной покупателем, не уменьшается, а пункт 5 статьи 200 того же Кодекса был изложен в новой редакции, согласно которой вычетам подлежат суммы акциза, уплаченные налогоплательщиком, в случае возврата покупателем подакцизных товаров (в том числе возврата в течение гарантийного срока) или отказа от них, за исключением алкогольной и (или) подакцизной спиртосодержащей продукции, при соблюдении условий, установленных пунктом 5 статьи 201 данного Кодекса. Тем самым был введен особый порядок исчисления налогоплательщиком налоговой базы по операциям реализации произведенной им алкогольной и (или) подакцизной спиртосодержащей продукции и применения вычетов для определения подлежащей уплате суммы акциза, который исключил возможность уменьшения подлежащей уплате суммы акциза на сумму акциза, уплаченного налогоплательщиком по операциям реализации произведенной им алкогольной и (или) подакцизной спиртосодержащей продукции, в случае возврата покупателем данной продукции. Иными словами, с 1 июня 2016 года каждая операция по реализации алкогольной и (или) подакцизной спиртосодержащей продукции подлежит обложению акцизом – независимо от того, осуществляется ли реализация вновь произведенного товара или же ранее возвращенного покупателем. Соответственно, при повторной реализации возвращенной покупателем алкогольной продукции у налогоплательщика – производителя алкогольной продукции возникает объект налогообложения акцизами при отсутствии права на вычет акциза, уплаченного при первоначальной реализации такой продукции. На это было обращено внимание в письме Федеральной налоговой службы от 12 октября 2016 года № СД-4-3/19330@ «По вопросу уплаты акциза», адресованном территориальным налоговым органам и 9 налогоплательщикам. Такое правовое регулирование согласуется с положениями Налогового кодекса Российской Федерации, определяющими понятие реализации для целей налогообложения (статьи 39 и 182) и признающими реализацией, в частности, любую передачу на возмездной основе (в том числе обмен товарами, работами или услугами) права собственности на товары, а в случаях, предусмотренных Налоговым кодексом Российской Федерации, – передачу права собственности на товары на безвозмездной основе. С учетом изложенного оспариваемое заявителем законодательное регулирование не может рассматриваться как нарушающее конституционные права налогоплательщиков в указанном в жалобе аспекте. Это не препятствует законодателю при совершенствовании организационно- технических инструментов контроля за реализацией соответствующей продукции корректировать данное регулирование в направлении смягчения налогового бремени, что, в частности, было сделано Федеральным законом от 27 ноября 2017 года № 335-ФЗ «О внесении изменений в части первую и вторую Налогового кодекса Российской Федерации и отдельные законодательные акты Российской Федерации», изменившим с 1 января 2018 года редакцию оспариваемых законоположений.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«Дека»,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