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236700-П/2016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Белова Владимира Сергеевича на нарушение его конституционных прав частью первой статьи 3, частью второй статьи 10 и частью первой статьи 70 Уголовного кодекса Российской Федерации, пунктом 13 статьи 397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В.С.Белова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в статье 54 (часть 2) в качестве гарантии защиты достоинства личности и ее прав в сфере уголовно-правовых и уголовно- процессуальных отношений правило, согласно которому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 За лицом, условно-досрочно освобожденным, в течение всего срока оставшейся неотбытой части наказания сохраняется статус осужденного (Постановление Конституционного Суда Российской Федерации от 8 декабря 2009 года Что же касается оспариваемого заявителем пункта 13 статьи 397 УПК Российской Федерации, то он лишь относит разрешение вопросов об освобождении от наказания или о смягчении наказания вследствие издания уголовного закона, имеющего обратную силу, в соответствии со статьей 10 УК Российской Федерации к компетенции суда на стадии исполнения приговора и уголовно-правовые отношения не регламентирует (определения 6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Белова Владимира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