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239619-П/2016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Запорожца Сергея Степановича на нарушение его конституционных прав подпунктом «а1» пункта 32 статьи 4 Федерального закона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С.С.Запорожца,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об ограничении пассивного избирательного права граждан Российской Федерации в связи с наличием у них в прошлом судимости ранее уже был предметом рассмотрения Конституционного Суда Российской Федерации. В Постановлении от 10 октября 2013 года В Постановлении от 10 октября 2013 года Таким образом, с учетом приведенных правовых позиций Конституционного Суда Российской Федерации оспариваемое законоположение не может расцениваться как нарушающее в обозначенном в жалобе аспекте конституционные права заявителя, привлеченного к уголовной ответственности за преступления, относящиеся к категориям тяжких и небольшой тяжести, совершенные им в период осуществления полномочий депутата городской Думы города Шахты, и претендующего после погашения в 2015 году судимости на участие в проводимых в том же году выборах в качестве кандидата в депутаты данного представительного органа, а потому его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Запорожца Сергея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