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343995-П/2018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Таболо Максима Валерьевича на нарушение его конституционных прав частью 2 статьи 25.2 Кодекса Российской Федерации об административных правонарушениях, а также частью 1 статьи 51 и частью 1 статьи 202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М.В.Таболо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правонарушениях, устанавливая порядок осуществления производства по делам об административных правонарушениях (раздел IV), определяет 4 правовой статус участников данного производства (глава 25). Одним из таких участников является потерпевший – лицо, которому административным правонарушением причинен физический, имущественный или моральный вред (часть 1 статьи 25.2). Часть 2 указанной статьи предусматривает, что потерпевший вправе знакомиться со всеми материалами дела об административном правонарушении, давать объяснения, представлять доказательства, заявлять ходатайства и отводы, пользоваться юридической помощью представителя, обжаловать постановление по данному делу, пользоваться иными процессуальными правами в соответствии с данным Кодексом. Тем самым приведенное законоположение направлено на создание надлежащего процессуального механизма обеспечения прав потерпевшего, защита которых осуществляется в рамках производства по делам об административных правонарушениях, что само по себе отвечает конституционному предписанию, обязывающему государство обеспечить потерпевшим доступ к правосудию.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Таболо Максима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